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县级道路交通安全突发事件应急响应条件</w:t>
      </w:r>
    </w:p>
    <w:tbl>
      <w:tblPr>
        <w:tblStyle w:val="4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6"/>
        <w:gridCol w:w="4667"/>
        <w:gridCol w:w="4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66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三级响应</w:t>
            </w:r>
          </w:p>
        </w:tc>
        <w:tc>
          <w:tcPr>
            <w:tcW w:w="466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二级响应</w:t>
            </w:r>
          </w:p>
        </w:tc>
        <w:tc>
          <w:tcPr>
            <w:tcW w:w="466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一级响应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9" w:hRule="atLeast"/>
        </w:trPr>
        <w:tc>
          <w:tcPr>
            <w:tcW w:w="466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发生以下情形之一时，启动三级响应：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发生道路交通事故，造成3人以上5人以下失联、死亡，或10人以上30人以下伤亡的；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发生道路交通逃逸事故，造成3人以下失联、死亡的；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易燃易爆物品、危险化学品运输车辆发生泄漏、爆炸、燃烧的，造成3人以下失联、死亡，或5人以上10人以下伤亡的，或可能造成一定环境污染的；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出现灾害性天气或自然灾害，严重影响道路交通安全，甚至阻断交通，涉及3个以上相邻县的；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县指挥部认为需要启动三级响应的其他情形。</w:t>
            </w:r>
          </w:p>
        </w:tc>
        <w:tc>
          <w:tcPr>
            <w:tcW w:w="4667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发生以下情形之一时，启动二级响应：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1发生道路交通事故，造成5人以上10人以下失联、死亡，或30人以上50人以下伤亡的；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2.发生道路交通逃逸事故，造成3人以上5人以下失联、死亡的；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3.易燃易爆物品、危险化学品运输车辆发生泄漏、爆炸、燃烧的，造成3人以上5人以下失联、死亡，或10人以上30人以下伤亡的，或可能造成较大环境污染的；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4.出现灾害性天气或自然灾害，严重影响道路交通安全，甚至阻断交通，涉及5个以上相邻县的；</w:t>
            </w: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5.县指挥部认为需要启动二级响应的其他情形。</w:t>
            </w:r>
          </w:p>
        </w:tc>
        <w:tc>
          <w:tcPr>
            <w:tcW w:w="4667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发生以下情形之一时，启动一级响应：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1.发生道路交通事故，造成10人以上失联、死亡，或50人以上伤亡的；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2.发生道路交通逃逸事故，造成5人以上失联、死亡的；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3.易燃易爆物品、危险化学品运输车辆发生泄漏、爆炸、燃烧的，造成5人以下失联、死亡，或30人以上伤亡的，或可能造成重大环境污染的；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4.出现灾害性天气或自然灾害，严重影响道路交通安全，甚至阻断交通，涉及全市范围或3个以上相邻设区市国省道的；</w:t>
            </w: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5.县指挥部认为需要启动一级响应的其他情形。</w:t>
            </w:r>
          </w:p>
        </w:tc>
      </w:tr>
    </w:tbl>
    <w:p>
      <w:pPr>
        <w:jc w:val="both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注：上述所称“以上”包含本数，“以下”不包含总数。 </w:t>
      </w:r>
    </w:p>
    <w:sectPr>
      <w:headerReference r:id="rId3" w:type="default"/>
      <w:footerReference r:id="rId4" w:type="default"/>
      <w:pgSz w:w="16838" w:h="11906" w:orient="landscape"/>
      <w:pgMar w:top="1803" w:right="1440" w:bottom="1803" w:left="1440" w:header="851" w:footer="992" w:gutter="0"/>
      <w:pgNumType w:fmt="decimal" w:start="18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Times New Roman"/>
        <w:kern w:val="2"/>
        <w:sz w:val="18"/>
        <w:szCs w:val="22"/>
        <w:lang w:val="en-US" w:eastAsia="zh-CN" w:bidi="ar-SA"/>
      </w:rPr>
      <w:pict>
        <v:shape id="文本框 2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18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9"/>
    <w:multiLevelType w:val="singleLevel"/>
    <w:tmpl w:val="0000000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E8C3E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403</Words>
  <Characters>2299</Characters>
  <Lines>19</Lines>
  <Paragraphs>5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2021-05-19T15:06:00Z</dcterms:created>
  <dc:creator>Administrator</dc:creator>
  <cp:lastModifiedBy>会飞能打的宇Sir</cp:lastModifiedBy>
  <cp:lastPrinted>2021-08-17T11:47:00Z</cp:lastPrinted>
  <dcterms:modified xsi:type="dcterms:W3CDTF">2021-11-30T08:56:06Z</dcterms:modified>
  <dc:title>天涯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F94D66B757564083B5DCDD85CBA72242</vt:lpwstr>
  </property>
</Properties>
</file>